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pacing w:val="-10"/>
          <w:sz w:val="36"/>
          <w:szCs w:val="36"/>
        </w:rPr>
      </w:pPr>
      <w:bookmarkStart w:id="0" w:name="_GoBack"/>
      <w:bookmarkEnd w:id="0"/>
      <w:r>
        <w:rPr>
          <w:rFonts w:hint="eastAsia" w:ascii="黑体" w:hAnsi="黑体" w:eastAsia="黑体"/>
          <w:spacing w:val="-10"/>
          <w:sz w:val="36"/>
          <w:szCs w:val="36"/>
        </w:rPr>
        <w:t>内蒙古自治区地方标准</w:t>
      </w:r>
    </w:p>
    <w:p>
      <w:pPr>
        <w:jc w:val="center"/>
        <w:rPr>
          <w:rFonts w:ascii="黑体" w:hAnsi="宋体" w:eastAsia="黑体"/>
          <w:bCs/>
          <w:sz w:val="36"/>
          <w:szCs w:val="36"/>
        </w:rPr>
      </w:pPr>
      <w:r>
        <w:rPr>
          <w:rFonts w:hint="eastAsia" w:ascii="黑体" w:hAnsi="黑体" w:eastAsia="黑体"/>
          <w:spacing w:val="-10"/>
          <w:sz w:val="36"/>
          <w:szCs w:val="36"/>
        </w:rPr>
        <w:t>《</w:t>
      </w:r>
      <w:r>
        <w:rPr>
          <w:rFonts w:hint="eastAsia" w:ascii="黑体" w:hAnsi="宋体" w:eastAsia="黑体"/>
          <w:bCs/>
          <w:sz w:val="36"/>
          <w:szCs w:val="36"/>
        </w:rPr>
        <w:t>马铃薯疮痂病田间抗性鉴定技术规程》编制说明</w:t>
      </w:r>
    </w:p>
    <w:p>
      <w:pPr>
        <w:pStyle w:val="2"/>
        <w:rPr>
          <w:sz w:val="30"/>
          <w:szCs w:val="30"/>
        </w:rPr>
      </w:pPr>
      <w:r>
        <w:rPr>
          <w:rFonts w:hint="eastAsia"/>
          <w:sz w:val="30"/>
          <w:szCs w:val="30"/>
        </w:rPr>
        <w:t>一、工作简况</w:t>
      </w:r>
    </w:p>
    <w:p>
      <w:pPr>
        <w:spacing w:line="360" w:lineRule="auto"/>
        <w:ind w:firstLine="480"/>
        <w:rPr>
          <w:kern w:val="0"/>
          <w:sz w:val="24"/>
        </w:rPr>
      </w:pPr>
      <w:r>
        <w:rPr>
          <w:rFonts w:hint="eastAsia" w:hAnsi="宋体"/>
          <w:sz w:val="24"/>
        </w:rPr>
        <w:t xml:space="preserve">1. </w:t>
      </w:r>
      <w:r>
        <w:rPr>
          <w:rFonts w:hint="eastAsia"/>
          <w:kern w:val="0"/>
          <w:sz w:val="24"/>
        </w:rPr>
        <w:t>任务来源：本团队承担与本标准相关的研究课题4项，包括马铃薯产业技术体系呼和浩特试验站（研究经费50万元/年， 2016-2020年总计250万元）；宁夏农林科学院对外科技合作项目（DW-X-2018025）项目“马铃薯疮痂链霉菌遗传多样性及品种抗性评价研究”30万元；内蒙古应用技术研究与开发资金项目“马铃薯化肥农药‘双减’技术模式创建与示范”100万元；以及财政厅推广项目“马铃薯主要病虫草害综合防控技术示范与推广”45万元；研究团队依托上述项目，对马铃薯土传病害包括疮痂病、枯萎病、黑痣病等进行田间采样调查、病害流行规律、品种抗性鉴定、综合防控等方面的研究，并取得一定成果。</w:t>
      </w:r>
    </w:p>
    <w:p>
      <w:pPr>
        <w:spacing w:line="360" w:lineRule="auto"/>
        <w:ind w:firstLine="480" w:firstLineChars="200"/>
        <w:rPr>
          <w:kern w:val="0"/>
          <w:sz w:val="24"/>
        </w:rPr>
      </w:pPr>
      <w:r>
        <w:rPr>
          <w:rFonts w:hint="eastAsia"/>
          <w:kern w:val="0"/>
          <w:sz w:val="24"/>
        </w:rPr>
        <w:t>2. 起草单位：内蒙古自治区农牧业科学院、内蒙古农业大学</w:t>
      </w:r>
    </w:p>
    <w:p>
      <w:pPr>
        <w:spacing w:line="360" w:lineRule="auto"/>
        <w:ind w:firstLine="480" w:firstLineChars="200"/>
        <w:rPr>
          <w:kern w:val="0"/>
          <w:sz w:val="24"/>
        </w:rPr>
      </w:pPr>
      <w:r>
        <w:rPr>
          <w:rFonts w:hint="eastAsia"/>
          <w:kern w:val="0"/>
          <w:sz w:val="24"/>
        </w:rPr>
        <w:t>3. 起草人：赵远征、徐利敏、郭景山、张笑宇、王东、贾瑞芳、张俊、郭斌煜、孔庆全、郝文胜、谢锐、韩志刚、吕英、李昊宇</w:t>
      </w:r>
    </w:p>
    <w:p>
      <w:pPr>
        <w:pStyle w:val="2"/>
        <w:rPr>
          <w:sz w:val="30"/>
        </w:rPr>
      </w:pPr>
      <w:r>
        <w:rPr>
          <w:rFonts w:hint="eastAsia"/>
          <w:sz w:val="30"/>
        </w:rPr>
        <w:t>二、制定标准的必要性和意义</w:t>
      </w:r>
    </w:p>
    <w:p>
      <w:pPr>
        <w:spacing w:line="360" w:lineRule="auto"/>
        <w:ind w:firstLine="480" w:firstLineChars="200"/>
        <w:rPr>
          <w:sz w:val="24"/>
        </w:rPr>
      </w:pPr>
      <w:r>
        <w:rPr>
          <w:rFonts w:hint="eastAsia"/>
          <w:sz w:val="24"/>
        </w:rPr>
        <w:t>马铃薯作为我国四大主粮之一，其种植面积和产业规模逐渐扩大。内蒙古是我国北方重要的马铃薯种植和生产基地，种植面积常年保持在1000万亩以上，总产量可达1000万吨，在全国产量中居于前列。近年来，由于市场和人们的需求不断提高，马铃薯栽培品种逐渐多样化。由于过于追求产量，马铃薯田轮作倒茬不合理，农田中化肥、农药使用量加大，导致农田严重污染、土传病害频发。马铃薯土传病害严重影响着马铃薯产业发展，由于其发病特点，防治难度较大，迫切需要通过科学技术手段来进行防控。</w:t>
      </w:r>
    </w:p>
    <w:p>
      <w:pPr>
        <w:spacing w:line="360" w:lineRule="auto"/>
        <w:ind w:firstLine="480" w:firstLineChars="200"/>
        <w:rPr>
          <w:sz w:val="24"/>
        </w:rPr>
      </w:pPr>
      <w:r>
        <w:rPr>
          <w:rFonts w:hint="eastAsia"/>
          <w:sz w:val="24"/>
        </w:rPr>
        <w:t>马铃薯疮痂病是由链霉菌属（</w:t>
      </w:r>
      <w:r>
        <w:rPr>
          <w:rFonts w:hint="eastAsia"/>
          <w:i/>
          <w:sz w:val="24"/>
        </w:rPr>
        <w:t>Streptomyces</w:t>
      </w:r>
      <w:r>
        <w:rPr>
          <w:rFonts w:hint="eastAsia"/>
          <w:sz w:val="24"/>
        </w:rPr>
        <w:t>）真菌引起的一种土传病害，病原菌种类繁多，致病力多样，在世界范围内广泛分布，如美国、加拿大、芬兰等地；在我国的内蒙古、甘肃、贵州、山东、河北、辽宁等省区均有分布。该病原菌主要危害马铃薯的块茎，初期侵染块茎造成表皮凸起、凹陷，表皮呈现褐色小点，后期扩大形成圆形或不规则形状的大病斑，导致表皮组织木栓化变得粗糙，严重时表皮组织破裂，严重降低了马铃薯的商品性和品质。由于马铃薯常年连作会导致疮痂病菌在土壤中积累，选用化学药剂、无病种薯或种薯消毒、增施有机肥或绿肥等措施能对马铃薯疮痂病起到防治作用。</w:t>
      </w:r>
    </w:p>
    <w:p>
      <w:pPr>
        <w:spacing w:line="360" w:lineRule="auto"/>
        <w:ind w:firstLine="480" w:firstLineChars="200"/>
        <w:rPr>
          <w:sz w:val="24"/>
        </w:rPr>
      </w:pPr>
      <w:r>
        <w:rPr>
          <w:rFonts w:hint="eastAsia"/>
          <w:sz w:val="24"/>
        </w:rPr>
        <w:t>但由于病原菌种类的多样性和病害发生的复杂性，该病害的防治较为困难，以上措施对该病害的防治仍存在一定局限性，而抗病品种的选用也成为该病害防治的重要手段。例如美国、澳大利亚、俄罗斯等国已陆续筛选出一些较为抗病的品种如Navajo、Platte、Aloakonohita、Emilia、北方玫瑰等并应用于大田生产。我国对抗疮痂病的马铃薯种质资源研究相对较少，缺乏抗性水平较高的马铃薯品种和对应的抗性鉴定标准。通过田间抗性鉴定和种质资源筛选工作，来不断完善马铃薯品种对疮痂病抗性水平信息，将有利于马铃薯疮痂病的防治，并能够改善农田污染和土壤生态失衡等问题，提高马铃薯的品质。</w:t>
      </w:r>
    </w:p>
    <w:p>
      <w:pPr>
        <w:pStyle w:val="2"/>
        <w:rPr>
          <w:sz w:val="30"/>
        </w:rPr>
      </w:pPr>
      <w:r>
        <w:rPr>
          <w:rFonts w:hint="eastAsia"/>
          <w:sz w:val="30"/>
        </w:rPr>
        <w:t>三、主要起草过程</w:t>
      </w:r>
    </w:p>
    <w:p>
      <w:pPr>
        <w:spacing w:line="360" w:lineRule="auto"/>
        <w:ind w:firstLine="480" w:firstLineChars="200"/>
        <w:rPr>
          <w:sz w:val="24"/>
        </w:rPr>
      </w:pPr>
      <w:r>
        <w:rPr>
          <w:sz w:val="24"/>
        </w:rPr>
        <w:t>在标准的起草过程中，由</w:t>
      </w:r>
      <w:r>
        <w:rPr>
          <w:rFonts w:hint="eastAsia"/>
          <w:sz w:val="24"/>
        </w:rPr>
        <w:t>内蒙古农牧业科学院</w:t>
      </w:r>
      <w:r>
        <w:rPr>
          <w:sz w:val="24"/>
        </w:rPr>
        <w:t>成立标准起草小组，负责标准撰写的组织、协调工作，并承担资料的收集、整理、起草和意见汇总工作。工作过程简述如下：</w:t>
      </w:r>
    </w:p>
    <w:p>
      <w:pPr>
        <w:spacing w:after="120" w:line="360" w:lineRule="auto"/>
        <w:ind w:firstLine="472" w:firstLineChars="196"/>
        <w:rPr>
          <w:b/>
          <w:sz w:val="24"/>
        </w:rPr>
      </w:pPr>
      <w:r>
        <w:rPr>
          <w:b/>
          <w:sz w:val="24"/>
        </w:rPr>
        <w:t>1．有关国内外标准与相关研究报道等资料的收集</w:t>
      </w:r>
    </w:p>
    <w:p>
      <w:pPr>
        <w:spacing w:after="120" w:line="360" w:lineRule="auto"/>
        <w:ind w:firstLine="480" w:firstLineChars="200"/>
        <w:rPr>
          <w:sz w:val="24"/>
        </w:rPr>
      </w:pPr>
      <w:r>
        <w:rPr>
          <w:sz w:val="24"/>
        </w:rPr>
        <w:t>通过资料收集</w:t>
      </w:r>
      <w:r>
        <w:rPr>
          <w:rFonts w:hint="eastAsia"/>
          <w:sz w:val="24"/>
        </w:rPr>
        <w:t>和文献检索，未见国、内外针对马铃薯疮痂病田间抗性鉴定同类标准。</w:t>
      </w:r>
    </w:p>
    <w:p>
      <w:pPr>
        <w:spacing w:after="120" w:line="360" w:lineRule="auto"/>
        <w:ind w:firstLine="472" w:firstLineChars="196"/>
        <w:rPr>
          <w:b/>
          <w:sz w:val="24"/>
        </w:rPr>
      </w:pPr>
      <w:r>
        <w:rPr>
          <w:b/>
          <w:sz w:val="24"/>
        </w:rPr>
        <w:t>2．本标准适用范围的确定</w:t>
      </w:r>
    </w:p>
    <w:p>
      <w:pPr>
        <w:spacing w:after="120" w:line="360" w:lineRule="auto"/>
        <w:ind w:firstLine="470" w:firstLineChars="196"/>
        <w:rPr>
          <w:rFonts w:hAnsi="宋体"/>
          <w:sz w:val="24"/>
        </w:rPr>
      </w:pPr>
      <w:r>
        <w:rPr>
          <w:rFonts w:hint="eastAsia" w:hAnsi="宋体"/>
          <w:sz w:val="24"/>
        </w:rPr>
        <w:t>本标准规定马铃薯疮痂病抗性鉴定方法、调查及计算方法和抗病性评价。</w:t>
      </w:r>
    </w:p>
    <w:p>
      <w:pPr>
        <w:spacing w:after="120" w:line="360" w:lineRule="auto"/>
        <w:ind w:firstLine="470" w:firstLineChars="196"/>
        <w:rPr>
          <w:rFonts w:hAnsi="宋体"/>
          <w:sz w:val="24"/>
        </w:rPr>
      </w:pPr>
      <w:r>
        <w:rPr>
          <w:rFonts w:hint="eastAsia" w:hAnsi="宋体"/>
          <w:sz w:val="24"/>
        </w:rPr>
        <w:t>本标准适用于内蒙古地区马铃薯品种（系）对疮痂病田间抗性水平的鉴定。</w:t>
      </w:r>
    </w:p>
    <w:p>
      <w:pPr>
        <w:spacing w:after="120" w:line="360" w:lineRule="auto"/>
        <w:ind w:firstLine="472" w:firstLineChars="196"/>
        <w:rPr>
          <w:b/>
          <w:sz w:val="24"/>
        </w:rPr>
      </w:pPr>
      <w:r>
        <w:rPr>
          <w:rFonts w:hint="eastAsia"/>
          <w:b/>
          <w:sz w:val="24"/>
        </w:rPr>
        <w:t>3</w:t>
      </w:r>
      <w:r>
        <w:rPr>
          <w:b/>
          <w:sz w:val="24"/>
        </w:rPr>
        <w:t>．</w:t>
      </w:r>
      <w:r>
        <w:rPr>
          <w:rFonts w:hint="eastAsia"/>
          <w:b/>
          <w:sz w:val="24"/>
        </w:rPr>
        <w:t>完善标准内容，形成标准征求意见稿和送审稿</w:t>
      </w:r>
    </w:p>
    <w:p>
      <w:pPr>
        <w:spacing w:after="120" w:line="360" w:lineRule="auto"/>
        <w:ind w:firstLine="480" w:firstLineChars="200"/>
        <w:rPr>
          <w:sz w:val="24"/>
        </w:rPr>
      </w:pPr>
      <w:r>
        <w:rPr>
          <w:rFonts w:hint="eastAsia"/>
          <w:sz w:val="24"/>
        </w:rPr>
        <w:t>自2014年以来，马铃薯病虫草害研究团队对内蒙古地区马铃薯土传病害发生规律及特点、综合防控、品种抗性鉴定等方面进行了多年的研究，并取得一定研究结果。通过室内研究和田间试验明确了马铃薯疮痂病的发生特点和危害特性，分析了不同马铃薯品种对疮痂病的抗性水平，为标准的实施奠定了科学基础，并将试验的技术进行了集成，编制形成了“规程”草案。标准起草以研究结果为依据，标准起草组严格按照内蒙古自治区地方标准的编写格式、结构和表述规则撰写标准初稿，并征求了我区相关研究专家们的意见和建议，并经起草小组多次讨论、修改，最终形成了地方标准送审稿。</w:t>
      </w:r>
    </w:p>
    <w:p>
      <w:pPr>
        <w:pStyle w:val="2"/>
        <w:rPr>
          <w:sz w:val="30"/>
        </w:rPr>
      </w:pPr>
      <w:r>
        <w:rPr>
          <w:rFonts w:hint="eastAsia"/>
          <w:sz w:val="30"/>
        </w:rPr>
        <w:t>四．制定标准的原则和依据，与现行法律、法规、标准的关系</w:t>
      </w:r>
    </w:p>
    <w:p>
      <w:pPr>
        <w:spacing w:after="120" w:line="360" w:lineRule="auto"/>
        <w:ind w:firstLine="480" w:firstLineChars="200"/>
        <w:rPr>
          <w:sz w:val="24"/>
        </w:rPr>
      </w:pPr>
      <w:r>
        <w:rPr>
          <w:rFonts w:hint="eastAsia"/>
          <w:sz w:val="24"/>
        </w:rPr>
        <w:t>本标准的制定以实用、科学和可操作性为基本原则，不违背现行的法律、法规。</w:t>
      </w:r>
    </w:p>
    <w:p>
      <w:pPr>
        <w:pStyle w:val="2"/>
        <w:rPr>
          <w:sz w:val="30"/>
        </w:rPr>
      </w:pPr>
      <w:r>
        <w:rPr>
          <w:rFonts w:hint="eastAsia"/>
          <w:sz w:val="30"/>
        </w:rPr>
        <w:t>五．主要条款的说明，主要技术指标、参数、试验验证的论述</w:t>
      </w:r>
    </w:p>
    <w:p>
      <w:pPr>
        <w:spacing w:after="120" w:line="360" w:lineRule="auto"/>
        <w:ind w:firstLine="480" w:firstLineChars="200"/>
        <w:rPr>
          <w:sz w:val="24"/>
        </w:rPr>
      </w:pPr>
      <w:r>
        <w:rPr>
          <w:rFonts w:hint="eastAsia"/>
          <w:sz w:val="24"/>
        </w:rPr>
        <w:t>本标准规定了马铃薯疮痂病抗性鉴定方法、调查及计算方法和抗病性评价，并适用于内蒙古地区马铃薯品种（系）对疮痂病田间抗性水平的鉴定。该标准中关于供试菌株、对照品种选择、接种体制备和接种方法以及调查和计算方法、抗性评价标准均以可靠的研究结果为依据。</w:t>
      </w:r>
    </w:p>
    <w:p>
      <w:pPr>
        <w:spacing w:after="120" w:line="360" w:lineRule="auto"/>
        <w:ind w:firstLine="480" w:firstLineChars="200"/>
        <w:rPr>
          <w:sz w:val="24"/>
        </w:rPr>
      </w:pPr>
      <w:r>
        <w:rPr>
          <w:rFonts w:hint="eastAsia"/>
          <w:sz w:val="24"/>
        </w:rPr>
        <w:t>研究团队主要依托内蒙古自治区科技厅应用技术研究与开发项目（201802071）和宁夏农林科学院对外科技合作项目（DW-X-2018025）项目，对马铃薯土传病害包括疮痂病等进行田间采样调查、病害流行规律、品种抗性鉴定、综合防控等方面的研究。在前期研究工作基础上，通过田间试验对不同马铃薯品种抗性进行鉴定和评价，分析了内蒙古马铃薯主栽品种的疮痂病抗性水平。田间试验结果表明，不同马铃薯品种均表现出发病症状，不同品种对马铃薯疮痂病抗性存在差异，无免疫品种。其中高感品种共有17个，包括冀张薯8号、冀张薯22号、黄金薯、荷兰806、早大白、中薯12号、中薯10号、红美、兴佳2号、晋薯16号、云薯801、中薯3号、中薯4号、冀张薯20号、思凡特、丽薯6号、尤金；中感品种共5个，分别为中薯18号、冀张薯5号、大西洋、N3、中薯19号；18个品种表现为中抗，分别是中薯21号、中薯26号、冀张薯3号、青薯9、费乌瑞它、中薯2号、后期红、康妮贝克、冀张薯12号、希森X、中薯15号、中薯6号、克新1号、夏波蒂、MX-8、中薯9号、希森3号、N5；8个品种表现为高抗，分别是布尔班克、希森5号、冀张薯14号、中薯13号、冀张薯15号、超荷、N1、希森6号。</w:t>
      </w:r>
    </w:p>
    <w:p>
      <w:pPr>
        <w:pStyle w:val="2"/>
        <w:rPr>
          <w:sz w:val="30"/>
        </w:rPr>
      </w:pPr>
      <w:r>
        <w:rPr>
          <w:rFonts w:hint="eastAsia"/>
          <w:sz w:val="30"/>
        </w:rPr>
        <w:t>六．重大意见分歧的处理依据和结果</w:t>
      </w:r>
    </w:p>
    <w:p>
      <w:pPr>
        <w:spacing w:after="120" w:line="360" w:lineRule="auto"/>
        <w:ind w:firstLine="480" w:firstLineChars="200"/>
        <w:rPr>
          <w:sz w:val="24"/>
        </w:rPr>
      </w:pPr>
      <w:r>
        <w:rPr>
          <w:rFonts w:hint="eastAsia"/>
          <w:sz w:val="24"/>
        </w:rPr>
        <w:t>本标准制定过程征求了相关研究专家们的意见和建议，无任何重大意见分歧。若审定过程中出现需要修订完善的部分，需由起草小组根据专家意见进行讨论和修改。</w:t>
      </w:r>
    </w:p>
    <w:p>
      <w:pPr>
        <w:rPr>
          <w:b/>
          <w:bCs/>
          <w:kern w:val="44"/>
          <w:sz w:val="30"/>
          <w:szCs w:val="44"/>
        </w:rPr>
      </w:pPr>
      <w:r>
        <w:rPr>
          <w:rFonts w:hint="eastAsia"/>
          <w:sz w:val="30"/>
        </w:rPr>
        <w:t>七．</w:t>
      </w:r>
      <w:r>
        <w:rPr>
          <w:rFonts w:hint="eastAsia"/>
          <w:b/>
          <w:bCs/>
          <w:kern w:val="44"/>
          <w:sz w:val="30"/>
          <w:szCs w:val="44"/>
        </w:rPr>
        <w:t>其他应说明的事项</w:t>
      </w:r>
    </w:p>
    <w:p>
      <w:pPr>
        <w:spacing w:after="120" w:line="360" w:lineRule="auto"/>
        <w:ind w:firstLine="600" w:firstLineChars="250"/>
        <w:rPr>
          <w:sz w:val="24"/>
        </w:rPr>
      </w:pPr>
      <w:r>
        <w:rPr>
          <w:rFonts w:hint="eastAsia"/>
          <w:sz w:val="24"/>
        </w:rPr>
        <w:t>无</w:t>
      </w:r>
    </w:p>
    <w:p>
      <w:r>
        <w:rPr>
          <w:rFonts w:hint="eastAsia"/>
          <w:b/>
          <w:bCs/>
          <w:kern w:val="44"/>
          <w:sz w:val="30"/>
          <w:szCs w:val="44"/>
        </w:rPr>
        <w:t>八．其他应说明事项</w:t>
      </w:r>
    </w:p>
    <w:p>
      <w:pPr>
        <w:spacing w:after="120" w:line="360" w:lineRule="auto"/>
        <w:ind w:firstLine="600" w:firstLineChars="250"/>
        <w:rPr>
          <w:sz w:val="24"/>
        </w:rPr>
      </w:pPr>
      <w:r>
        <w:rPr>
          <w:rFonts w:hint="eastAsia"/>
          <w:sz w:val="24"/>
        </w:rPr>
        <w:t>无</w:t>
      </w:r>
    </w:p>
    <w:p>
      <w:pPr>
        <w:rPr>
          <w:b/>
          <w:bCs/>
          <w:kern w:val="44"/>
          <w:sz w:val="30"/>
          <w:szCs w:val="44"/>
        </w:rPr>
      </w:pPr>
      <w:r>
        <w:rPr>
          <w:rFonts w:hint="eastAsia"/>
          <w:b/>
          <w:bCs/>
          <w:kern w:val="44"/>
          <w:sz w:val="30"/>
          <w:szCs w:val="44"/>
        </w:rPr>
        <w:t>九．标准草稿征求意见情况汇总表</w:t>
      </w:r>
    </w:p>
    <w:p>
      <w:pPr>
        <w:rPr>
          <w:b/>
          <w:bCs/>
          <w:kern w:val="44"/>
          <w:sz w:val="30"/>
          <w:szCs w:val="44"/>
        </w:rPr>
      </w:pPr>
    </w:p>
    <w:tbl>
      <w:tblPr>
        <w:tblStyle w:val="13"/>
        <w:tblW w:w="8267" w:type="dxa"/>
        <w:jc w:val="center"/>
        <w:tblInd w:w="-7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3260"/>
        <w:gridCol w:w="1627"/>
        <w:gridCol w:w="925"/>
        <w:gridCol w:w="1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tcPr>
          <w:p>
            <w:pPr>
              <w:jc w:val="center"/>
              <w:rPr>
                <w:sz w:val="18"/>
                <w:szCs w:val="18"/>
              </w:rPr>
            </w:pPr>
            <w:r>
              <w:rPr>
                <w:sz w:val="18"/>
                <w:szCs w:val="18"/>
              </w:rPr>
              <w:t>序号</w:t>
            </w:r>
          </w:p>
        </w:tc>
        <w:tc>
          <w:tcPr>
            <w:tcW w:w="3260" w:type="dxa"/>
          </w:tcPr>
          <w:p>
            <w:pPr>
              <w:jc w:val="center"/>
              <w:rPr>
                <w:sz w:val="18"/>
                <w:szCs w:val="18"/>
              </w:rPr>
            </w:pPr>
            <w:r>
              <w:rPr>
                <w:sz w:val="18"/>
                <w:szCs w:val="18"/>
              </w:rPr>
              <w:t>意见</w:t>
            </w:r>
          </w:p>
        </w:tc>
        <w:tc>
          <w:tcPr>
            <w:tcW w:w="1627" w:type="dxa"/>
          </w:tcPr>
          <w:p>
            <w:pPr>
              <w:jc w:val="center"/>
              <w:rPr>
                <w:sz w:val="18"/>
                <w:szCs w:val="18"/>
              </w:rPr>
            </w:pPr>
            <w:r>
              <w:rPr>
                <w:sz w:val="18"/>
                <w:szCs w:val="18"/>
              </w:rPr>
              <w:t>提出单位/专家</w:t>
            </w:r>
          </w:p>
        </w:tc>
        <w:tc>
          <w:tcPr>
            <w:tcW w:w="925" w:type="dxa"/>
          </w:tcPr>
          <w:p>
            <w:pPr>
              <w:jc w:val="center"/>
              <w:rPr>
                <w:sz w:val="18"/>
                <w:szCs w:val="18"/>
              </w:rPr>
            </w:pPr>
            <w:r>
              <w:rPr>
                <w:sz w:val="18"/>
                <w:szCs w:val="18"/>
              </w:rPr>
              <w:t>采纳</w:t>
            </w:r>
          </w:p>
        </w:tc>
        <w:tc>
          <w:tcPr>
            <w:tcW w:w="1768" w:type="dxa"/>
          </w:tcPr>
          <w:p>
            <w:pPr>
              <w:jc w:val="center"/>
              <w:rPr>
                <w:sz w:val="18"/>
                <w:szCs w:val="18"/>
              </w:rPr>
            </w:pPr>
            <w:r>
              <w:rPr>
                <w:sz w:val="18"/>
                <w:szCs w:val="18"/>
              </w:rPr>
              <w:t>不采纳（说明原因）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tcPr>
          <w:p>
            <w:pPr>
              <w:jc w:val="center"/>
              <w:rPr>
                <w:sz w:val="18"/>
                <w:szCs w:val="18"/>
              </w:rPr>
            </w:pPr>
            <w:r>
              <w:rPr>
                <w:sz w:val="18"/>
                <w:szCs w:val="18"/>
              </w:rPr>
              <w:t>1</w:t>
            </w:r>
          </w:p>
        </w:tc>
        <w:tc>
          <w:tcPr>
            <w:tcW w:w="3260" w:type="dxa"/>
          </w:tcPr>
          <w:p>
            <w:pPr>
              <w:jc w:val="center"/>
              <w:rPr>
                <w:sz w:val="18"/>
                <w:szCs w:val="18"/>
              </w:rPr>
            </w:pPr>
            <w:r>
              <w:rPr>
                <w:rFonts w:hint="eastAsia"/>
                <w:sz w:val="18"/>
                <w:szCs w:val="18"/>
              </w:rPr>
              <w:t>“本标准规定马铃薯抗疮痂病鉴定方法”</w:t>
            </w:r>
            <w:r>
              <w:rPr>
                <w:rFonts w:hint="eastAsia"/>
              </w:rPr>
              <w:t xml:space="preserve"> </w:t>
            </w:r>
            <w:r>
              <w:rPr>
                <w:rFonts w:hint="eastAsia"/>
                <w:sz w:val="18"/>
                <w:szCs w:val="18"/>
              </w:rPr>
              <w:t>建议更改为“本标准规定马铃薯疮痂病抗性鉴定方法”</w:t>
            </w:r>
          </w:p>
        </w:tc>
        <w:tc>
          <w:tcPr>
            <w:tcW w:w="1627" w:type="dxa"/>
          </w:tcPr>
          <w:p>
            <w:pPr>
              <w:jc w:val="center"/>
              <w:rPr>
                <w:sz w:val="18"/>
                <w:szCs w:val="18"/>
              </w:rPr>
            </w:pPr>
            <w:r>
              <w:rPr>
                <w:rFonts w:hint="eastAsia"/>
                <w:sz w:val="18"/>
                <w:szCs w:val="18"/>
              </w:rPr>
              <w:t>赵君</w:t>
            </w:r>
            <w:r>
              <w:rPr>
                <w:sz w:val="18"/>
                <w:szCs w:val="18"/>
              </w:rPr>
              <w:t>/内蒙古农</w:t>
            </w:r>
            <w:r>
              <w:rPr>
                <w:rFonts w:hint="eastAsia"/>
                <w:sz w:val="18"/>
                <w:szCs w:val="18"/>
              </w:rPr>
              <w:t>业大学</w:t>
            </w:r>
          </w:p>
        </w:tc>
        <w:tc>
          <w:tcPr>
            <w:tcW w:w="925" w:type="dxa"/>
          </w:tcPr>
          <w:p>
            <w:pPr>
              <w:jc w:val="center"/>
              <w:rPr>
                <w:sz w:val="18"/>
                <w:szCs w:val="18"/>
              </w:rPr>
            </w:pPr>
            <w:r>
              <w:rPr>
                <w:sz w:val="18"/>
                <w:szCs w:val="18"/>
              </w:rPr>
              <w:t>采纳</w:t>
            </w:r>
          </w:p>
        </w:tc>
        <w:tc>
          <w:tcPr>
            <w:tcW w:w="1768"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tcPr>
          <w:p>
            <w:pPr>
              <w:jc w:val="center"/>
              <w:rPr>
                <w:sz w:val="18"/>
                <w:szCs w:val="18"/>
              </w:rPr>
            </w:pPr>
            <w:r>
              <w:rPr>
                <w:sz w:val="18"/>
                <w:szCs w:val="18"/>
              </w:rPr>
              <w:t>2</w:t>
            </w:r>
          </w:p>
        </w:tc>
        <w:tc>
          <w:tcPr>
            <w:tcW w:w="3260" w:type="dxa"/>
          </w:tcPr>
          <w:p>
            <w:pPr>
              <w:jc w:val="center"/>
              <w:rPr>
                <w:sz w:val="18"/>
                <w:szCs w:val="18"/>
              </w:rPr>
            </w:pPr>
            <w:r>
              <w:rPr>
                <w:rFonts w:hint="eastAsia"/>
                <w:sz w:val="18"/>
                <w:szCs w:val="18"/>
              </w:rPr>
              <w:t>“内蒙古马铃薯主产区疮痂病病原菌加利利链霉菌”</w:t>
            </w:r>
            <w:r>
              <w:rPr>
                <w:rFonts w:hint="eastAsia"/>
              </w:rPr>
              <w:t xml:space="preserve"> </w:t>
            </w:r>
            <w:r>
              <w:rPr>
                <w:rFonts w:hint="eastAsia"/>
                <w:sz w:val="18"/>
                <w:szCs w:val="18"/>
              </w:rPr>
              <w:t>建议更改为“</w:t>
            </w:r>
            <w:r>
              <w:rPr>
                <w:sz w:val="18"/>
                <w:szCs w:val="18"/>
              </w:rPr>
              <w:t>…</w:t>
            </w:r>
            <w:r>
              <w:rPr>
                <w:rFonts w:hint="eastAsia"/>
                <w:sz w:val="18"/>
                <w:szCs w:val="18"/>
              </w:rPr>
              <w:t>主产区分离获得的疮痂病病原菌加利利链霉菌”</w:t>
            </w:r>
          </w:p>
        </w:tc>
        <w:tc>
          <w:tcPr>
            <w:tcW w:w="1627" w:type="dxa"/>
          </w:tcPr>
          <w:p>
            <w:pPr>
              <w:jc w:val="center"/>
              <w:rPr>
                <w:sz w:val="18"/>
                <w:szCs w:val="18"/>
              </w:rPr>
            </w:pPr>
            <w:r>
              <w:rPr>
                <w:rFonts w:hint="eastAsia"/>
                <w:sz w:val="18"/>
                <w:szCs w:val="18"/>
              </w:rPr>
              <w:t>赵君/内蒙古农业大学</w:t>
            </w:r>
          </w:p>
        </w:tc>
        <w:tc>
          <w:tcPr>
            <w:tcW w:w="925" w:type="dxa"/>
          </w:tcPr>
          <w:p>
            <w:pPr>
              <w:jc w:val="center"/>
              <w:rPr>
                <w:sz w:val="18"/>
                <w:szCs w:val="18"/>
              </w:rPr>
            </w:pPr>
            <w:r>
              <w:rPr>
                <w:sz w:val="18"/>
                <w:szCs w:val="18"/>
              </w:rPr>
              <w:t>采纳</w:t>
            </w:r>
          </w:p>
        </w:tc>
        <w:tc>
          <w:tcPr>
            <w:tcW w:w="1768"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tcPr>
          <w:p>
            <w:pPr>
              <w:jc w:val="center"/>
              <w:rPr>
                <w:sz w:val="18"/>
                <w:szCs w:val="18"/>
              </w:rPr>
            </w:pPr>
            <w:r>
              <w:rPr>
                <w:sz w:val="18"/>
                <w:szCs w:val="18"/>
              </w:rPr>
              <w:t>3</w:t>
            </w:r>
          </w:p>
        </w:tc>
        <w:tc>
          <w:tcPr>
            <w:tcW w:w="3260" w:type="dxa"/>
          </w:tcPr>
          <w:p>
            <w:pPr>
              <w:jc w:val="center"/>
              <w:rPr>
                <w:sz w:val="18"/>
                <w:szCs w:val="18"/>
              </w:rPr>
            </w:pPr>
            <w:r>
              <w:rPr>
                <w:rFonts w:hint="eastAsia"/>
                <w:sz w:val="18"/>
                <w:szCs w:val="18"/>
              </w:rPr>
              <w:t>“选用马铃薯疮痂病高抗品种青薯9号和高感品种尤金作为接种对照”</w:t>
            </w:r>
            <w:r>
              <w:rPr>
                <w:rFonts w:hint="eastAsia"/>
              </w:rPr>
              <w:t xml:space="preserve"> </w:t>
            </w:r>
            <w:r>
              <w:rPr>
                <w:rFonts w:hint="eastAsia"/>
                <w:sz w:val="18"/>
                <w:szCs w:val="18"/>
              </w:rPr>
              <w:t>建议更改为“选用马铃薯疮痂病高感品种作为接种对照”</w:t>
            </w:r>
          </w:p>
        </w:tc>
        <w:tc>
          <w:tcPr>
            <w:tcW w:w="1627" w:type="dxa"/>
          </w:tcPr>
          <w:p>
            <w:pPr>
              <w:jc w:val="center"/>
              <w:rPr>
                <w:sz w:val="18"/>
                <w:szCs w:val="18"/>
              </w:rPr>
            </w:pPr>
            <w:r>
              <w:rPr>
                <w:rFonts w:hint="eastAsia"/>
                <w:sz w:val="18"/>
                <w:szCs w:val="18"/>
              </w:rPr>
              <w:t>赵君/内蒙古农业大学</w:t>
            </w:r>
          </w:p>
        </w:tc>
        <w:tc>
          <w:tcPr>
            <w:tcW w:w="925" w:type="dxa"/>
          </w:tcPr>
          <w:p>
            <w:pPr>
              <w:jc w:val="center"/>
              <w:rPr>
                <w:sz w:val="18"/>
                <w:szCs w:val="18"/>
              </w:rPr>
            </w:pPr>
            <w:r>
              <w:rPr>
                <w:sz w:val="18"/>
                <w:szCs w:val="18"/>
              </w:rPr>
              <w:t>采纳</w:t>
            </w:r>
          </w:p>
        </w:tc>
        <w:tc>
          <w:tcPr>
            <w:tcW w:w="1768"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tcPr>
          <w:p>
            <w:pPr>
              <w:jc w:val="center"/>
              <w:rPr>
                <w:sz w:val="18"/>
                <w:szCs w:val="18"/>
              </w:rPr>
            </w:pPr>
            <w:r>
              <w:rPr>
                <w:rFonts w:hint="eastAsia"/>
                <w:sz w:val="18"/>
                <w:szCs w:val="18"/>
              </w:rPr>
              <w:t>4</w:t>
            </w:r>
          </w:p>
        </w:tc>
        <w:tc>
          <w:tcPr>
            <w:tcW w:w="3260" w:type="dxa"/>
          </w:tcPr>
          <w:p>
            <w:pPr>
              <w:jc w:val="center"/>
              <w:rPr>
                <w:sz w:val="18"/>
                <w:szCs w:val="18"/>
              </w:rPr>
            </w:pPr>
            <w:r>
              <w:rPr>
                <w:rFonts w:hint="eastAsia"/>
                <w:sz w:val="18"/>
                <w:szCs w:val="18"/>
              </w:rPr>
              <w:t>补充田间设计“每品种设置3个区，小区面积...”</w:t>
            </w:r>
          </w:p>
        </w:tc>
        <w:tc>
          <w:tcPr>
            <w:tcW w:w="1627" w:type="dxa"/>
          </w:tcPr>
          <w:p>
            <w:pPr>
              <w:jc w:val="center"/>
              <w:rPr>
                <w:sz w:val="18"/>
                <w:szCs w:val="18"/>
              </w:rPr>
            </w:pPr>
            <w:r>
              <w:rPr>
                <w:rFonts w:hint="eastAsia"/>
                <w:sz w:val="18"/>
                <w:szCs w:val="18"/>
              </w:rPr>
              <w:t>赵君/内蒙古农业大学</w:t>
            </w:r>
          </w:p>
        </w:tc>
        <w:tc>
          <w:tcPr>
            <w:tcW w:w="925" w:type="dxa"/>
          </w:tcPr>
          <w:p>
            <w:pPr>
              <w:jc w:val="center"/>
              <w:rPr>
                <w:sz w:val="18"/>
                <w:szCs w:val="18"/>
              </w:rPr>
            </w:pPr>
            <w:r>
              <w:rPr>
                <w:rFonts w:hint="eastAsia"/>
                <w:sz w:val="18"/>
                <w:szCs w:val="18"/>
              </w:rPr>
              <w:t>采纳</w:t>
            </w:r>
          </w:p>
        </w:tc>
        <w:tc>
          <w:tcPr>
            <w:tcW w:w="1768"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tcPr>
          <w:p>
            <w:pPr>
              <w:jc w:val="center"/>
              <w:rPr>
                <w:sz w:val="18"/>
                <w:szCs w:val="18"/>
              </w:rPr>
            </w:pPr>
            <w:r>
              <w:rPr>
                <w:rFonts w:hint="eastAsia"/>
                <w:sz w:val="18"/>
                <w:szCs w:val="18"/>
              </w:rPr>
              <w:t>4</w:t>
            </w:r>
          </w:p>
        </w:tc>
        <w:tc>
          <w:tcPr>
            <w:tcW w:w="3260" w:type="dxa"/>
          </w:tcPr>
          <w:p>
            <w:pPr>
              <w:jc w:val="center"/>
              <w:rPr>
                <w:sz w:val="18"/>
                <w:szCs w:val="18"/>
              </w:rPr>
            </w:pPr>
            <w:r>
              <w:rPr>
                <w:rFonts w:hint="eastAsia"/>
                <w:sz w:val="18"/>
                <w:szCs w:val="18"/>
              </w:rPr>
              <w:t>“植株生长至9月底进行收获”</w:t>
            </w:r>
            <w:r>
              <w:rPr>
                <w:rFonts w:hint="eastAsia"/>
              </w:rPr>
              <w:t xml:space="preserve"> </w:t>
            </w:r>
            <w:r>
              <w:rPr>
                <w:rFonts w:hint="eastAsia"/>
                <w:sz w:val="18"/>
                <w:szCs w:val="18"/>
              </w:rPr>
              <w:t>建议更改为“马铃薯收获后”</w:t>
            </w:r>
          </w:p>
        </w:tc>
        <w:tc>
          <w:tcPr>
            <w:tcW w:w="1627" w:type="dxa"/>
          </w:tcPr>
          <w:p>
            <w:pPr>
              <w:jc w:val="center"/>
              <w:rPr>
                <w:sz w:val="18"/>
                <w:szCs w:val="18"/>
              </w:rPr>
            </w:pPr>
            <w:r>
              <w:rPr>
                <w:rFonts w:hint="eastAsia"/>
                <w:sz w:val="18"/>
                <w:szCs w:val="18"/>
              </w:rPr>
              <w:t>赵君/内蒙古农业大学</w:t>
            </w:r>
          </w:p>
        </w:tc>
        <w:tc>
          <w:tcPr>
            <w:tcW w:w="925" w:type="dxa"/>
          </w:tcPr>
          <w:p>
            <w:pPr>
              <w:jc w:val="center"/>
              <w:rPr>
                <w:sz w:val="18"/>
                <w:szCs w:val="18"/>
              </w:rPr>
            </w:pPr>
            <w:r>
              <w:rPr>
                <w:sz w:val="18"/>
                <w:szCs w:val="18"/>
              </w:rPr>
              <w:t>采纳</w:t>
            </w:r>
          </w:p>
        </w:tc>
        <w:tc>
          <w:tcPr>
            <w:tcW w:w="1768"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tcPr>
          <w:p>
            <w:pPr>
              <w:jc w:val="center"/>
              <w:rPr>
                <w:sz w:val="18"/>
                <w:szCs w:val="18"/>
              </w:rPr>
            </w:pPr>
            <w:r>
              <w:rPr>
                <w:rFonts w:hint="eastAsia"/>
                <w:sz w:val="18"/>
                <w:szCs w:val="18"/>
              </w:rPr>
              <w:t>5</w:t>
            </w:r>
          </w:p>
        </w:tc>
        <w:tc>
          <w:tcPr>
            <w:tcW w:w="3260" w:type="dxa"/>
          </w:tcPr>
          <w:p>
            <w:pPr>
              <w:jc w:val="center"/>
              <w:rPr>
                <w:sz w:val="18"/>
                <w:szCs w:val="18"/>
              </w:rPr>
            </w:pPr>
            <w:r>
              <w:rPr>
                <w:rFonts w:hint="eastAsia"/>
                <w:sz w:val="18"/>
                <w:szCs w:val="18"/>
              </w:rPr>
              <w:t>完善并补充 “田间设计”中病圃的内容</w:t>
            </w:r>
          </w:p>
        </w:tc>
        <w:tc>
          <w:tcPr>
            <w:tcW w:w="1627" w:type="dxa"/>
          </w:tcPr>
          <w:p>
            <w:pPr>
              <w:jc w:val="center"/>
              <w:rPr>
                <w:sz w:val="18"/>
                <w:szCs w:val="18"/>
              </w:rPr>
            </w:pPr>
            <w:r>
              <w:rPr>
                <w:rFonts w:hint="eastAsia"/>
                <w:sz w:val="18"/>
                <w:szCs w:val="18"/>
              </w:rPr>
              <w:t>张庆萍</w:t>
            </w:r>
            <w:r>
              <w:rPr>
                <w:sz w:val="18"/>
                <w:szCs w:val="18"/>
              </w:rPr>
              <w:t>/内蒙古</w:t>
            </w:r>
            <w:r>
              <w:rPr>
                <w:rFonts w:hint="eastAsia"/>
                <w:sz w:val="18"/>
                <w:szCs w:val="18"/>
              </w:rPr>
              <w:t>农牧业科学院</w:t>
            </w:r>
          </w:p>
        </w:tc>
        <w:tc>
          <w:tcPr>
            <w:tcW w:w="925" w:type="dxa"/>
          </w:tcPr>
          <w:p>
            <w:pPr>
              <w:jc w:val="center"/>
              <w:rPr>
                <w:sz w:val="18"/>
                <w:szCs w:val="18"/>
              </w:rPr>
            </w:pPr>
            <w:r>
              <w:rPr>
                <w:rFonts w:hint="eastAsia"/>
                <w:sz w:val="18"/>
                <w:szCs w:val="18"/>
              </w:rPr>
              <w:t>采纳</w:t>
            </w:r>
          </w:p>
        </w:tc>
        <w:tc>
          <w:tcPr>
            <w:tcW w:w="1768"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tcPr>
          <w:p>
            <w:pPr>
              <w:jc w:val="center"/>
              <w:rPr>
                <w:sz w:val="18"/>
                <w:szCs w:val="18"/>
              </w:rPr>
            </w:pPr>
            <w:r>
              <w:rPr>
                <w:rFonts w:hint="eastAsia"/>
                <w:sz w:val="18"/>
                <w:szCs w:val="18"/>
              </w:rPr>
              <w:t>6</w:t>
            </w:r>
          </w:p>
        </w:tc>
        <w:tc>
          <w:tcPr>
            <w:tcW w:w="3260" w:type="dxa"/>
          </w:tcPr>
          <w:p>
            <w:pPr>
              <w:jc w:val="center"/>
              <w:rPr>
                <w:sz w:val="18"/>
                <w:szCs w:val="18"/>
              </w:rPr>
            </w:pPr>
            <w:r>
              <w:rPr>
                <w:rFonts w:hint="eastAsia"/>
                <w:sz w:val="18"/>
                <w:szCs w:val="18"/>
              </w:rPr>
              <w:t>完善并补充“播种管理如株行距、播种时间等内容”</w:t>
            </w:r>
          </w:p>
        </w:tc>
        <w:tc>
          <w:tcPr>
            <w:tcW w:w="1627" w:type="dxa"/>
          </w:tcPr>
          <w:p>
            <w:pPr>
              <w:jc w:val="center"/>
              <w:rPr>
                <w:sz w:val="18"/>
                <w:szCs w:val="18"/>
              </w:rPr>
            </w:pPr>
            <w:r>
              <w:rPr>
                <w:rFonts w:hint="eastAsia"/>
                <w:sz w:val="18"/>
                <w:szCs w:val="18"/>
              </w:rPr>
              <w:t>张庆萍/内蒙古农牧业科学院</w:t>
            </w:r>
          </w:p>
        </w:tc>
        <w:tc>
          <w:tcPr>
            <w:tcW w:w="925" w:type="dxa"/>
          </w:tcPr>
          <w:p>
            <w:pPr>
              <w:jc w:val="center"/>
              <w:rPr>
                <w:sz w:val="18"/>
                <w:szCs w:val="18"/>
              </w:rPr>
            </w:pPr>
            <w:r>
              <w:rPr>
                <w:rFonts w:hint="eastAsia"/>
                <w:sz w:val="18"/>
                <w:szCs w:val="18"/>
              </w:rPr>
              <w:t>采纳</w:t>
            </w:r>
          </w:p>
        </w:tc>
        <w:tc>
          <w:tcPr>
            <w:tcW w:w="1768"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tcPr>
          <w:p>
            <w:pPr>
              <w:jc w:val="center"/>
              <w:rPr>
                <w:sz w:val="18"/>
                <w:szCs w:val="18"/>
              </w:rPr>
            </w:pPr>
            <w:r>
              <w:rPr>
                <w:rFonts w:hint="eastAsia"/>
                <w:sz w:val="18"/>
                <w:szCs w:val="18"/>
              </w:rPr>
              <w:t>7</w:t>
            </w:r>
          </w:p>
        </w:tc>
        <w:tc>
          <w:tcPr>
            <w:tcW w:w="3260" w:type="dxa"/>
          </w:tcPr>
          <w:p>
            <w:pPr>
              <w:jc w:val="center"/>
              <w:rPr>
                <w:sz w:val="18"/>
                <w:szCs w:val="18"/>
                <w:highlight w:val="yellow"/>
              </w:rPr>
            </w:pPr>
            <w:r>
              <w:rPr>
                <w:rFonts w:hint="eastAsia"/>
                <w:color w:val="000000"/>
                <w:sz w:val="18"/>
                <w:szCs w:val="18"/>
              </w:rPr>
              <w:t>细化“3.4接种体制备”制备方法</w:t>
            </w:r>
          </w:p>
        </w:tc>
        <w:tc>
          <w:tcPr>
            <w:tcW w:w="1627" w:type="dxa"/>
          </w:tcPr>
          <w:p>
            <w:pPr>
              <w:jc w:val="center"/>
              <w:rPr>
                <w:sz w:val="18"/>
                <w:szCs w:val="18"/>
              </w:rPr>
            </w:pPr>
            <w:r>
              <w:rPr>
                <w:rFonts w:hint="eastAsia"/>
                <w:sz w:val="18"/>
                <w:szCs w:val="18"/>
              </w:rPr>
              <w:t>周洪友/内蒙古农业大学</w:t>
            </w:r>
          </w:p>
        </w:tc>
        <w:tc>
          <w:tcPr>
            <w:tcW w:w="925" w:type="dxa"/>
          </w:tcPr>
          <w:p>
            <w:pPr>
              <w:jc w:val="center"/>
              <w:rPr>
                <w:sz w:val="18"/>
                <w:szCs w:val="18"/>
              </w:rPr>
            </w:pPr>
            <w:r>
              <w:rPr>
                <w:rFonts w:hint="eastAsia"/>
                <w:sz w:val="18"/>
                <w:szCs w:val="18"/>
              </w:rPr>
              <w:t>采纳</w:t>
            </w:r>
          </w:p>
        </w:tc>
        <w:tc>
          <w:tcPr>
            <w:tcW w:w="1768"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tcPr>
          <w:p>
            <w:pPr>
              <w:jc w:val="center"/>
              <w:rPr>
                <w:sz w:val="18"/>
                <w:szCs w:val="18"/>
              </w:rPr>
            </w:pPr>
            <w:r>
              <w:rPr>
                <w:rFonts w:hint="eastAsia"/>
                <w:sz w:val="18"/>
                <w:szCs w:val="18"/>
              </w:rPr>
              <w:t>8</w:t>
            </w:r>
          </w:p>
        </w:tc>
        <w:tc>
          <w:tcPr>
            <w:tcW w:w="3260" w:type="dxa"/>
          </w:tcPr>
          <w:p>
            <w:pPr>
              <w:jc w:val="center"/>
              <w:rPr>
                <w:color w:val="000000"/>
                <w:sz w:val="18"/>
                <w:szCs w:val="18"/>
              </w:rPr>
            </w:pPr>
            <w:r>
              <w:rPr>
                <w:rFonts w:hint="eastAsia"/>
                <w:color w:val="000000"/>
                <w:sz w:val="18"/>
                <w:szCs w:val="18"/>
              </w:rPr>
              <w:t>细化“3.5接种体制备”接种方法</w:t>
            </w:r>
          </w:p>
        </w:tc>
        <w:tc>
          <w:tcPr>
            <w:tcW w:w="1627" w:type="dxa"/>
          </w:tcPr>
          <w:p>
            <w:pPr>
              <w:jc w:val="center"/>
              <w:rPr>
                <w:sz w:val="18"/>
                <w:szCs w:val="18"/>
              </w:rPr>
            </w:pPr>
            <w:r>
              <w:rPr>
                <w:rFonts w:hint="eastAsia"/>
                <w:sz w:val="18"/>
                <w:szCs w:val="18"/>
              </w:rPr>
              <w:t>周洪友/内蒙古农业大学</w:t>
            </w:r>
          </w:p>
        </w:tc>
        <w:tc>
          <w:tcPr>
            <w:tcW w:w="925" w:type="dxa"/>
          </w:tcPr>
          <w:p>
            <w:pPr>
              <w:jc w:val="center"/>
              <w:rPr>
                <w:sz w:val="18"/>
                <w:szCs w:val="18"/>
              </w:rPr>
            </w:pPr>
            <w:r>
              <w:rPr>
                <w:rFonts w:hint="eastAsia"/>
                <w:sz w:val="18"/>
                <w:szCs w:val="18"/>
              </w:rPr>
              <w:t>采纳</w:t>
            </w:r>
          </w:p>
        </w:tc>
        <w:tc>
          <w:tcPr>
            <w:tcW w:w="1768"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tcPr>
          <w:p>
            <w:pPr>
              <w:jc w:val="center"/>
              <w:rPr>
                <w:sz w:val="18"/>
                <w:szCs w:val="18"/>
              </w:rPr>
            </w:pPr>
            <w:r>
              <w:rPr>
                <w:rFonts w:hint="eastAsia"/>
                <w:sz w:val="18"/>
                <w:szCs w:val="18"/>
              </w:rPr>
              <w:t>9</w:t>
            </w:r>
          </w:p>
        </w:tc>
        <w:tc>
          <w:tcPr>
            <w:tcW w:w="3260" w:type="dxa"/>
          </w:tcPr>
          <w:p>
            <w:pPr>
              <w:jc w:val="center"/>
              <w:rPr>
                <w:color w:val="000000"/>
                <w:sz w:val="18"/>
                <w:szCs w:val="18"/>
              </w:rPr>
            </w:pPr>
            <w:r>
              <w:rPr>
                <w:rFonts w:hint="eastAsia"/>
                <w:color w:val="000000"/>
                <w:sz w:val="18"/>
                <w:szCs w:val="18"/>
              </w:rPr>
              <w:t>删除“发病率”及其计算方法</w:t>
            </w:r>
          </w:p>
        </w:tc>
        <w:tc>
          <w:tcPr>
            <w:tcW w:w="1627" w:type="dxa"/>
          </w:tcPr>
          <w:p>
            <w:pPr>
              <w:jc w:val="center"/>
              <w:rPr>
                <w:sz w:val="18"/>
                <w:szCs w:val="18"/>
              </w:rPr>
            </w:pPr>
            <w:r>
              <w:rPr>
                <w:rFonts w:hint="eastAsia"/>
                <w:sz w:val="18"/>
                <w:szCs w:val="18"/>
              </w:rPr>
              <w:t>周洪友/内蒙古农业大学</w:t>
            </w:r>
          </w:p>
        </w:tc>
        <w:tc>
          <w:tcPr>
            <w:tcW w:w="925" w:type="dxa"/>
          </w:tcPr>
          <w:p>
            <w:pPr>
              <w:jc w:val="center"/>
              <w:rPr>
                <w:sz w:val="18"/>
                <w:szCs w:val="18"/>
              </w:rPr>
            </w:pPr>
            <w:r>
              <w:rPr>
                <w:rFonts w:hint="eastAsia"/>
                <w:sz w:val="18"/>
                <w:szCs w:val="18"/>
              </w:rPr>
              <w:t>采纳</w:t>
            </w:r>
          </w:p>
        </w:tc>
        <w:tc>
          <w:tcPr>
            <w:tcW w:w="1768"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tcPr>
          <w:p>
            <w:pPr>
              <w:jc w:val="center"/>
              <w:rPr>
                <w:sz w:val="18"/>
                <w:szCs w:val="18"/>
              </w:rPr>
            </w:pPr>
            <w:r>
              <w:rPr>
                <w:rFonts w:hint="eastAsia"/>
                <w:sz w:val="18"/>
                <w:szCs w:val="18"/>
              </w:rPr>
              <w:t>10</w:t>
            </w:r>
          </w:p>
        </w:tc>
        <w:tc>
          <w:tcPr>
            <w:tcW w:w="3260" w:type="dxa"/>
          </w:tcPr>
          <w:p>
            <w:pPr>
              <w:jc w:val="center"/>
              <w:rPr>
                <w:color w:val="000000"/>
                <w:sz w:val="18"/>
                <w:szCs w:val="18"/>
              </w:rPr>
            </w:pPr>
            <w:r>
              <w:rPr>
                <w:rFonts w:hint="eastAsia"/>
                <w:color w:val="000000"/>
                <w:sz w:val="18"/>
                <w:szCs w:val="18"/>
              </w:rPr>
              <w:t>附录A中</w:t>
            </w:r>
            <w:r>
              <w:rPr>
                <w:color w:val="000000"/>
                <w:sz w:val="18"/>
                <w:szCs w:val="18"/>
              </w:rPr>
              <w:t>病级</w:t>
            </w:r>
            <w:r>
              <w:rPr>
                <w:rFonts w:hint="eastAsia"/>
                <w:color w:val="000000"/>
                <w:sz w:val="18"/>
                <w:szCs w:val="18"/>
              </w:rPr>
              <w:t>“</w:t>
            </w:r>
            <w:r>
              <w:rPr>
                <w:color w:val="000000"/>
                <w:sz w:val="18"/>
                <w:szCs w:val="18"/>
              </w:rPr>
              <w:t>为1、2、3、4、5、6</w:t>
            </w:r>
            <w:r>
              <w:rPr>
                <w:rFonts w:hint="eastAsia"/>
                <w:color w:val="000000"/>
                <w:sz w:val="18"/>
                <w:szCs w:val="18"/>
              </w:rPr>
              <w:t>”代表数值为“0、1、2、3、4、5”</w:t>
            </w:r>
          </w:p>
        </w:tc>
        <w:tc>
          <w:tcPr>
            <w:tcW w:w="1627" w:type="dxa"/>
          </w:tcPr>
          <w:p>
            <w:pPr>
              <w:jc w:val="center"/>
              <w:rPr>
                <w:sz w:val="18"/>
                <w:szCs w:val="18"/>
              </w:rPr>
            </w:pPr>
            <w:r>
              <w:rPr>
                <w:rFonts w:hint="eastAsia"/>
                <w:sz w:val="18"/>
                <w:szCs w:val="18"/>
              </w:rPr>
              <w:t>周洪友/内蒙古农业大学</w:t>
            </w:r>
          </w:p>
        </w:tc>
        <w:tc>
          <w:tcPr>
            <w:tcW w:w="925" w:type="dxa"/>
          </w:tcPr>
          <w:p>
            <w:pPr>
              <w:jc w:val="center"/>
              <w:rPr>
                <w:sz w:val="18"/>
                <w:szCs w:val="18"/>
              </w:rPr>
            </w:pPr>
            <w:r>
              <w:rPr>
                <w:rFonts w:hint="eastAsia"/>
                <w:sz w:val="18"/>
                <w:szCs w:val="18"/>
              </w:rPr>
              <w:t>采纳</w:t>
            </w:r>
          </w:p>
        </w:tc>
        <w:tc>
          <w:tcPr>
            <w:tcW w:w="1768"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tcPr>
          <w:p>
            <w:pPr>
              <w:jc w:val="center"/>
              <w:rPr>
                <w:sz w:val="18"/>
                <w:szCs w:val="18"/>
              </w:rPr>
            </w:pPr>
            <w:r>
              <w:rPr>
                <w:rFonts w:hint="eastAsia"/>
                <w:sz w:val="18"/>
                <w:szCs w:val="18"/>
              </w:rPr>
              <w:t>11</w:t>
            </w:r>
          </w:p>
        </w:tc>
        <w:tc>
          <w:tcPr>
            <w:tcW w:w="3260" w:type="dxa"/>
          </w:tcPr>
          <w:p>
            <w:pPr>
              <w:jc w:val="center"/>
              <w:rPr>
                <w:color w:val="000000"/>
                <w:sz w:val="18"/>
                <w:szCs w:val="18"/>
              </w:rPr>
            </w:pPr>
            <w:r>
              <w:rPr>
                <w:rFonts w:hint="eastAsia"/>
                <w:color w:val="000000"/>
                <w:sz w:val="18"/>
                <w:szCs w:val="18"/>
              </w:rPr>
              <w:t>表1修改为三线表</w:t>
            </w:r>
          </w:p>
        </w:tc>
        <w:tc>
          <w:tcPr>
            <w:tcW w:w="1627" w:type="dxa"/>
          </w:tcPr>
          <w:p>
            <w:pPr>
              <w:jc w:val="center"/>
              <w:rPr>
                <w:sz w:val="18"/>
                <w:szCs w:val="18"/>
              </w:rPr>
            </w:pPr>
            <w:r>
              <w:rPr>
                <w:rFonts w:hint="eastAsia"/>
                <w:sz w:val="18"/>
                <w:szCs w:val="18"/>
              </w:rPr>
              <w:t>周洪友/内蒙古农业大学</w:t>
            </w:r>
          </w:p>
        </w:tc>
        <w:tc>
          <w:tcPr>
            <w:tcW w:w="925" w:type="dxa"/>
          </w:tcPr>
          <w:p>
            <w:pPr>
              <w:jc w:val="center"/>
              <w:rPr>
                <w:sz w:val="18"/>
                <w:szCs w:val="18"/>
              </w:rPr>
            </w:pPr>
            <w:r>
              <w:rPr>
                <w:rFonts w:hint="eastAsia"/>
                <w:sz w:val="18"/>
                <w:szCs w:val="18"/>
              </w:rPr>
              <w:t>采纳</w:t>
            </w:r>
          </w:p>
        </w:tc>
        <w:tc>
          <w:tcPr>
            <w:tcW w:w="1768"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tcPr>
          <w:p>
            <w:pPr>
              <w:jc w:val="center"/>
              <w:rPr>
                <w:sz w:val="18"/>
                <w:szCs w:val="18"/>
              </w:rPr>
            </w:pPr>
            <w:r>
              <w:rPr>
                <w:rFonts w:hint="eastAsia"/>
                <w:sz w:val="18"/>
                <w:szCs w:val="18"/>
              </w:rPr>
              <w:t>12</w:t>
            </w:r>
          </w:p>
        </w:tc>
        <w:tc>
          <w:tcPr>
            <w:tcW w:w="3260" w:type="dxa"/>
          </w:tcPr>
          <w:p>
            <w:pPr>
              <w:jc w:val="center"/>
              <w:rPr>
                <w:color w:val="000000"/>
                <w:sz w:val="18"/>
                <w:szCs w:val="18"/>
              </w:rPr>
            </w:pPr>
            <w:r>
              <w:rPr>
                <w:color w:val="000000"/>
                <w:sz w:val="18"/>
                <w:szCs w:val="18"/>
              </w:rPr>
              <w:t>人工接种构建病圃</w:t>
            </w:r>
            <w:r>
              <w:rPr>
                <w:rFonts w:hint="eastAsia"/>
                <w:color w:val="000000"/>
                <w:sz w:val="18"/>
                <w:szCs w:val="18"/>
              </w:rPr>
              <w:t>修改为“建立病圃”</w:t>
            </w:r>
          </w:p>
        </w:tc>
        <w:tc>
          <w:tcPr>
            <w:tcW w:w="1627" w:type="dxa"/>
          </w:tcPr>
          <w:p>
            <w:pPr>
              <w:jc w:val="center"/>
              <w:rPr>
                <w:sz w:val="18"/>
                <w:szCs w:val="18"/>
              </w:rPr>
            </w:pPr>
            <w:r>
              <w:rPr>
                <w:rFonts w:hint="eastAsia"/>
                <w:sz w:val="18"/>
                <w:szCs w:val="18"/>
              </w:rPr>
              <w:t>周洪友/内蒙古农业大学</w:t>
            </w:r>
          </w:p>
        </w:tc>
        <w:tc>
          <w:tcPr>
            <w:tcW w:w="925" w:type="dxa"/>
          </w:tcPr>
          <w:p>
            <w:pPr>
              <w:jc w:val="center"/>
              <w:rPr>
                <w:sz w:val="18"/>
                <w:szCs w:val="18"/>
              </w:rPr>
            </w:pPr>
            <w:r>
              <w:rPr>
                <w:rFonts w:hint="eastAsia"/>
                <w:sz w:val="18"/>
                <w:szCs w:val="18"/>
              </w:rPr>
              <w:t>采纳</w:t>
            </w:r>
          </w:p>
        </w:tc>
        <w:tc>
          <w:tcPr>
            <w:tcW w:w="1768" w:type="dxa"/>
          </w:tcPr>
          <w:p>
            <w:pPr>
              <w:jc w:val="center"/>
              <w:rPr>
                <w:sz w:val="18"/>
                <w:szCs w:val="18"/>
              </w:rPr>
            </w:pPr>
          </w:p>
        </w:tc>
      </w:tr>
    </w:tbl>
    <w:p>
      <w:pPr>
        <w:spacing w:after="120" w:line="360" w:lineRule="auto"/>
        <w:rPr>
          <w:sz w:val="24"/>
        </w:rPr>
      </w:pPr>
    </w:p>
    <w:p>
      <w:pPr>
        <w:spacing w:line="360" w:lineRule="auto"/>
        <w:rPr>
          <w:rFonts w:hAnsi="宋体"/>
          <w:sz w:val="24"/>
        </w:rPr>
      </w:pPr>
      <w:r>
        <w:rPr>
          <w:rFonts w:hAnsi="宋体"/>
          <w:sz w:val="24"/>
        </w:rPr>
        <w:t xml:space="preserve">                              </w:t>
      </w:r>
      <w:r>
        <w:rPr>
          <w:rFonts w:hint="eastAsia" w:hAnsi="宋体"/>
          <w:sz w:val="24"/>
        </w:rPr>
        <w:t xml:space="preserve"> </w:t>
      </w:r>
    </w:p>
    <w:sectPr>
      <w:headerReference r:id="rId3" w:type="default"/>
      <w:footerReference r:id="rId4" w:type="even"/>
      <w:pgSz w:w="11906" w:h="16838"/>
      <w:pgMar w:top="1247" w:right="1797" w:bottom="1247"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pPr>
    <w:r>
      <w:fldChar w:fldCharType="begin"/>
    </w:r>
    <w:r>
      <w:rPr>
        <w:rStyle w:val="11"/>
      </w:rPr>
      <w:instrText xml:space="preserve"> PAGE </w:instrText>
    </w:r>
    <w:r>
      <w:fldChar w:fldCharType="separate"/>
    </w:r>
    <w:r>
      <w:rPr>
        <w:rStyle w:val="11"/>
      </w:rPr>
      <w:t>22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tentative="0">
      <w:start w:val="1"/>
      <w:numFmt w:val="upperLetter"/>
      <w:suff w:val="nothing"/>
      <w:lvlText w:val="附　录　%1"/>
      <w:lvlJc w:val="left"/>
      <w:pPr>
        <w:ind w:left="0" w:firstLine="0"/>
      </w:pPr>
      <w:rPr>
        <w:rFonts w:hint="eastAsia" w:ascii="黑体" w:hAnsi="Times New Roman" w:eastAsia="黑体"/>
        <w:b w:val="0"/>
        <w:i w:val="0"/>
        <w:sz w:val="21"/>
      </w:rPr>
    </w:lvl>
    <w:lvl w:ilvl="1" w:tentative="0">
      <w:start w:val="1"/>
      <w:numFmt w:val="decimal"/>
      <w:pStyle w:val="5"/>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D14"/>
    <w:rsid w:val="00251DBA"/>
    <w:rsid w:val="008D3075"/>
    <w:rsid w:val="00946D14"/>
    <w:rsid w:val="1354520E"/>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18"/>
    <w:uiPriority w:val="0"/>
    <w:rPr>
      <w:b/>
      <w:bCs/>
    </w:rPr>
  </w:style>
  <w:style w:type="paragraph" w:styleId="4">
    <w:name w:val="annotation text"/>
    <w:basedOn w:val="1"/>
    <w:link w:val="19"/>
    <w:qFormat/>
    <w:uiPriority w:val="0"/>
    <w:pPr>
      <w:jc w:val="left"/>
    </w:pPr>
  </w:style>
  <w:style w:type="paragraph" w:styleId="5">
    <w:name w:val="Body Text Indent"/>
    <w:basedOn w:val="1"/>
    <w:qFormat/>
    <w:uiPriority w:val="0"/>
    <w:pPr>
      <w:numPr>
        <w:ilvl w:val="1"/>
        <w:numId w:val="1"/>
      </w:numPr>
      <w:tabs>
        <w:tab w:val="left" w:pos="0"/>
      </w:tabs>
    </w:pPr>
  </w:style>
  <w:style w:type="paragraph" w:styleId="6">
    <w:name w:val="Date"/>
    <w:basedOn w:val="1"/>
    <w:next w:val="1"/>
    <w:link w:val="24"/>
    <w:uiPriority w:val="0"/>
    <w:pPr>
      <w:ind w:left="100" w:leftChars="2500"/>
    </w:pPr>
  </w:style>
  <w:style w:type="paragraph" w:styleId="7">
    <w:name w:val="Balloon Text"/>
    <w:basedOn w:val="1"/>
    <w:link w:val="20"/>
    <w:qFormat/>
    <w:uiPriority w:val="0"/>
    <w:rPr>
      <w:sz w:val="18"/>
      <w:szCs w:val="18"/>
    </w:rPr>
  </w:style>
  <w:style w:type="paragraph" w:styleId="8">
    <w:name w:val="footer"/>
    <w:basedOn w:val="1"/>
    <w:qFormat/>
    <w:uiPriority w:val="0"/>
    <w:pPr>
      <w:tabs>
        <w:tab w:val="center" w:pos="4153"/>
        <w:tab w:val="right" w:pos="8306"/>
      </w:tabs>
      <w:snapToGrid w:val="0"/>
      <w:ind w:right="210" w:rightChars="100"/>
      <w:jc w:val="righ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1">
    <w:name w:val="page number"/>
    <w:uiPriority w:val="0"/>
    <w:rPr>
      <w:rFonts w:ascii="Times New Roman" w:hAnsi="Times New Roman" w:eastAsia="宋体"/>
      <w:sz w:val="18"/>
    </w:rPr>
  </w:style>
  <w:style w:type="character" w:styleId="12">
    <w:name w:val="annotation reference"/>
    <w:qFormat/>
    <w:uiPriority w:val="0"/>
    <w:rPr>
      <w:sz w:val="21"/>
      <w:szCs w:val="21"/>
    </w:rPr>
  </w:style>
  <w:style w:type="paragraph" w:customStyle="1" w:styleId="14">
    <w:name w:val="正文2"/>
    <w:basedOn w:val="1"/>
    <w:link w:val="21"/>
    <w:qFormat/>
    <w:uiPriority w:val="0"/>
    <w:pPr>
      <w:tabs>
        <w:tab w:val="left" w:pos="0"/>
      </w:tabs>
      <w:spacing w:line="360" w:lineRule="auto"/>
      <w:ind w:firstLine="560" w:firstLineChars="200"/>
    </w:pPr>
    <w:rPr>
      <w:rFonts w:hAnsi="宋体"/>
      <w:sz w:val="28"/>
      <w:szCs w:val="28"/>
    </w:rPr>
  </w:style>
  <w:style w:type="paragraph" w:customStyle="1" w:styleId="15">
    <w:name w:val="段"/>
    <w:link w:val="17"/>
    <w:qFormat/>
    <w:uiPriority w:val="0"/>
    <w:pPr>
      <w:tabs>
        <w:tab w:val="center" w:pos="4201"/>
        <w:tab w:val="right" w:leader="dot" w:pos="9298"/>
      </w:tabs>
      <w:autoSpaceDE w:val="0"/>
      <w:autoSpaceDN w:val="0"/>
      <w:ind w:firstLine="420" w:firstLineChars="200"/>
      <w:jc w:val="both"/>
    </w:pPr>
    <w:rPr>
      <w:rFonts w:ascii="宋体" w:hAnsi="Times New Roman" w:eastAsia="Times New Roman" w:cs="Times New Roman"/>
      <w:sz w:val="21"/>
      <w:lang w:val="en-US" w:eastAsia="zh-CN" w:bidi="ar-SA"/>
    </w:rPr>
  </w:style>
  <w:style w:type="paragraph" w:customStyle="1" w:styleId="16">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7">
    <w:name w:val="段 Char Char"/>
    <w:link w:val="15"/>
    <w:uiPriority w:val="0"/>
    <w:rPr>
      <w:rFonts w:ascii="宋体" w:eastAsia="Times New Roman"/>
      <w:sz w:val="21"/>
      <w:lang w:val="en-US" w:eastAsia="zh-CN" w:bidi="ar-SA"/>
    </w:rPr>
  </w:style>
  <w:style w:type="character" w:customStyle="1" w:styleId="18">
    <w:name w:val="批注主题 Char"/>
    <w:link w:val="3"/>
    <w:qFormat/>
    <w:uiPriority w:val="0"/>
    <w:rPr>
      <w:b/>
      <w:bCs/>
      <w:kern w:val="2"/>
      <w:sz w:val="21"/>
      <w:szCs w:val="24"/>
    </w:rPr>
  </w:style>
  <w:style w:type="character" w:customStyle="1" w:styleId="19">
    <w:name w:val="批注文字 Char"/>
    <w:link w:val="4"/>
    <w:qFormat/>
    <w:uiPriority w:val="0"/>
    <w:rPr>
      <w:kern w:val="2"/>
      <w:sz w:val="21"/>
      <w:szCs w:val="24"/>
    </w:rPr>
  </w:style>
  <w:style w:type="character" w:customStyle="1" w:styleId="20">
    <w:name w:val="批注框文本 Char"/>
    <w:link w:val="7"/>
    <w:qFormat/>
    <w:uiPriority w:val="0"/>
    <w:rPr>
      <w:kern w:val="2"/>
      <w:sz w:val="18"/>
      <w:szCs w:val="18"/>
    </w:rPr>
  </w:style>
  <w:style w:type="character" w:customStyle="1" w:styleId="21">
    <w:name w:val="正文2 Char"/>
    <w:link w:val="14"/>
    <w:qFormat/>
    <w:uiPriority w:val="0"/>
    <w:rPr>
      <w:rFonts w:hAnsi="宋体" w:eastAsia="宋体"/>
      <w:kern w:val="2"/>
      <w:sz w:val="28"/>
      <w:szCs w:val="28"/>
      <w:lang w:val="en-US" w:eastAsia="zh-CN" w:bidi="ar-SA"/>
    </w:rPr>
  </w:style>
  <w:style w:type="character" w:customStyle="1" w:styleId="22">
    <w:name w:val="段 Char"/>
    <w:qFormat/>
    <w:uiPriority w:val="0"/>
    <w:rPr>
      <w:rFonts w:ascii="宋体"/>
      <w:sz w:val="21"/>
      <w:lang w:val="en-US" w:eastAsia="zh-CN" w:bidi="ar-SA"/>
    </w:rPr>
  </w:style>
  <w:style w:type="character" w:customStyle="1" w:styleId="23">
    <w:name w:val="apple-converted-space"/>
    <w:basedOn w:val="10"/>
    <w:qFormat/>
    <w:uiPriority w:val="0"/>
  </w:style>
  <w:style w:type="character" w:customStyle="1" w:styleId="24">
    <w:name w:val="日期 Char"/>
    <w:link w:val="6"/>
    <w:uiPriority w:val="0"/>
    <w:rPr>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AM电脑吧：60808.net</Company>
  <Pages>5</Pages>
  <Words>489</Words>
  <Characters>2792</Characters>
  <Lines>23</Lines>
  <Paragraphs>6</Paragraphs>
  <TotalTime>23</TotalTime>
  <ScaleCrop>false</ScaleCrop>
  <LinksUpToDate>false</LinksUpToDate>
  <CharactersWithSpaces>3275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2013-09-04T01:21:00Z</dcterms:created>
  <dc:creator>Lenovo User</dc:creator>
  <cp:lastModifiedBy>HCH</cp:lastModifiedBy>
  <cp:lastPrinted>2019-07-01T07:37:00Z</cp:lastPrinted>
  <dcterms:modified xsi:type="dcterms:W3CDTF">2020-11-30T02:33:39Z</dcterms:modified>
  <dc:title>内蒙古自治区地方标准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